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EFE2" w14:textId="77777777" w:rsidR="00FC3CB2" w:rsidRPr="00FC3CB2" w:rsidRDefault="00FC3CB2" w:rsidP="00FC3CB2">
      <w:pPr>
        <w:spacing w:after="150" w:line="360" w:lineRule="atLeast"/>
        <w:rPr>
          <w:rFonts w:ascii="Tahoma" w:hAnsi="Tahoma" w:cs="Tahoma"/>
          <w:color w:val="444444"/>
          <w:sz w:val="22"/>
          <w:szCs w:val="22"/>
        </w:rPr>
      </w:pPr>
      <w:bookmarkStart w:id="0" w:name="_GoBack"/>
      <w:bookmarkEnd w:id="0"/>
      <w:r w:rsidRPr="00FC3CB2">
        <w:rPr>
          <w:rFonts w:ascii="Tahoma" w:hAnsi="Tahoma" w:cs="Tahoma"/>
          <w:b/>
          <w:bCs/>
          <w:color w:val="444444"/>
          <w:sz w:val="22"/>
          <w:szCs w:val="22"/>
        </w:rPr>
        <w:t>TRANSITIONS</w:t>
      </w:r>
    </w:p>
    <w:p w14:paraId="140B8F7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burden of moving smoothly from one thought to another belongs to the writer. When you write, your reader should never have to go to the trouble of puzzling out hidden connections between ideas; those connections should be readily apparent. You can help your reader see at a glance that a certain train of thought is begun, developed, challenged, or completed by using word signals called </w:t>
      </w:r>
      <w:r w:rsidRPr="00FC3CB2">
        <w:rPr>
          <w:rFonts w:ascii="Tahoma" w:hAnsi="Tahoma" w:cs="Tahoma"/>
          <w:i/>
          <w:iCs/>
          <w:color w:val="444444"/>
          <w:sz w:val="22"/>
          <w:szCs w:val="22"/>
        </w:rPr>
        <w:t>transitions</w:t>
      </w:r>
      <w:r w:rsidRPr="00FC3CB2">
        <w:rPr>
          <w:rFonts w:ascii="Tahoma" w:hAnsi="Tahoma" w:cs="Tahoma"/>
          <w:color w:val="444444"/>
          <w:sz w:val="22"/>
          <w:szCs w:val="22"/>
        </w:rPr>
        <w:t>.</w:t>
      </w:r>
    </w:p>
    <w:p w14:paraId="1A8A8977"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Good writers combine two transition techniques:</w:t>
      </w:r>
    </w:p>
    <w:p w14:paraId="4FC86289" w14:textId="77777777" w:rsidR="00FC3CB2" w:rsidRPr="00FC3CB2" w:rsidRDefault="00FC3CB2" w:rsidP="00FC3CB2">
      <w:pPr>
        <w:numPr>
          <w:ilvl w:val="0"/>
          <w:numId w:val="1"/>
        </w:numPr>
        <w:spacing w:line="336" w:lineRule="atLeast"/>
        <w:ind w:left="300"/>
        <w:rPr>
          <w:rFonts w:ascii="Tahoma" w:eastAsia="Times New Roman" w:hAnsi="Tahoma" w:cs="Tahoma"/>
          <w:color w:val="444444"/>
          <w:sz w:val="22"/>
          <w:szCs w:val="22"/>
        </w:rPr>
      </w:pPr>
      <w:r w:rsidRPr="00FC3CB2">
        <w:rPr>
          <w:rFonts w:ascii="Tahoma" w:eastAsia="Times New Roman" w:hAnsi="Tahoma" w:cs="Tahoma"/>
          <w:color w:val="444444"/>
          <w:sz w:val="22"/>
          <w:szCs w:val="22"/>
        </w:rPr>
        <w:t>Using transitional words and phrases (such as </w:t>
      </w:r>
      <w:r w:rsidRPr="00FC3CB2">
        <w:rPr>
          <w:rFonts w:ascii="Tahoma" w:eastAsia="Times New Roman" w:hAnsi="Tahoma" w:cs="Tahoma"/>
          <w:i/>
          <w:iCs/>
          <w:color w:val="444444"/>
          <w:sz w:val="22"/>
          <w:szCs w:val="22"/>
        </w:rPr>
        <w:t>however</w:t>
      </w:r>
      <w:r w:rsidRPr="00FC3CB2">
        <w:rPr>
          <w:rFonts w:ascii="Tahoma" w:eastAsia="Times New Roman" w:hAnsi="Tahoma" w:cs="Tahoma"/>
          <w:color w:val="444444"/>
          <w:sz w:val="22"/>
          <w:szCs w:val="22"/>
        </w:rPr>
        <w:t> or </w:t>
      </w:r>
      <w:r w:rsidRPr="00FC3CB2">
        <w:rPr>
          <w:rFonts w:ascii="Tahoma" w:eastAsia="Times New Roman" w:hAnsi="Tahoma" w:cs="Tahoma"/>
          <w:i/>
          <w:iCs/>
          <w:color w:val="444444"/>
          <w:sz w:val="22"/>
          <w:szCs w:val="22"/>
        </w:rPr>
        <w:t>moreover</w:t>
      </w:r>
      <w:r w:rsidRPr="00FC3CB2">
        <w:rPr>
          <w:rFonts w:ascii="Tahoma" w:eastAsia="Times New Roman" w:hAnsi="Tahoma" w:cs="Tahoma"/>
          <w:color w:val="444444"/>
          <w:sz w:val="22"/>
          <w:szCs w:val="22"/>
        </w:rPr>
        <w:t>) to make connections</w:t>
      </w:r>
    </w:p>
    <w:p w14:paraId="55790679" w14:textId="77777777" w:rsidR="00FC3CB2" w:rsidRPr="00FC3CB2" w:rsidRDefault="00FC3CB2" w:rsidP="00FC3CB2">
      <w:pPr>
        <w:numPr>
          <w:ilvl w:val="0"/>
          <w:numId w:val="1"/>
        </w:numPr>
        <w:spacing w:line="336" w:lineRule="atLeast"/>
        <w:ind w:left="300"/>
        <w:rPr>
          <w:rFonts w:ascii="Tahoma" w:eastAsia="Times New Roman" w:hAnsi="Tahoma" w:cs="Tahoma"/>
          <w:color w:val="444444"/>
          <w:sz w:val="22"/>
          <w:szCs w:val="22"/>
        </w:rPr>
      </w:pPr>
      <w:r w:rsidRPr="00FC3CB2">
        <w:rPr>
          <w:rFonts w:ascii="Tahoma" w:eastAsia="Times New Roman" w:hAnsi="Tahoma" w:cs="Tahoma"/>
          <w:color w:val="444444"/>
          <w:sz w:val="22"/>
          <w:szCs w:val="22"/>
        </w:rPr>
        <w:t>Using placement of ideas to make connections (especially in longer papers)</w:t>
      </w:r>
    </w:p>
    <w:p w14:paraId="1EFA2E98"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b/>
          <w:bCs/>
          <w:color w:val="444444"/>
          <w:sz w:val="22"/>
          <w:szCs w:val="22"/>
        </w:rPr>
        <w:br/>
        <w:t>Transitional words and phrases</w:t>
      </w:r>
      <w:r w:rsidRPr="00FC3CB2">
        <w:rPr>
          <w:rFonts w:ascii="Tahoma" w:hAnsi="Tahoma" w:cs="Tahoma"/>
          <w:color w:val="444444"/>
          <w:sz w:val="22"/>
          <w:szCs w:val="22"/>
        </w:rPr>
        <w:br/>
        <w:t>Transitions are words or phrases (</w:t>
      </w:r>
      <w:r w:rsidRPr="00FC3CB2">
        <w:rPr>
          <w:rFonts w:ascii="Tahoma" w:hAnsi="Tahoma" w:cs="Tahoma"/>
          <w:i/>
          <w:iCs/>
          <w:color w:val="444444"/>
          <w:sz w:val="22"/>
          <w:szCs w:val="22"/>
        </w:rPr>
        <w:t>furthermore</w:t>
      </w:r>
      <w:r w:rsidRPr="00FC3CB2">
        <w:rPr>
          <w:rFonts w:ascii="Tahoma" w:hAnsi="Tahoma" w:cs="Tahoma"/>
          <w:color w:val="444444"/>
          <w:sz w:val="22"/>
          <w:szCs w:val="22"/>
        </w:rPr>
        <w:t>,</w:t>
      </w:r>
      <w:r w:rsidRPr="00FC3CB2">
        <w:rPr>
          <w:rFonts w:ascii="Tahoma" w:hAnsi="Tahoma" w:cs="Tahoma"/>
          <w:i/>
          <w:iCs/>
          <w:color w:val="444444"/>
          <w:sz w:val="22"/>
          <w:szCs w:val="22"/>
        </w:rPr>
        <w:t> for example</w:t>
      </w:r>
      <w:r w:rsidRPr="00FC3CB2">
        <w:rPr>
          <w:rFonts w:ascii="Tahoma" w:hAnsi="Tahoma" w:cs="Tahoma"/>
          <w:color w:val="444444"/>
          <w:sz w:val="22"/>
          <w:szCs w:val="22"/>
        </w:rPr>
        <w:t>, </w:t>
      </w:r>
      <w:r w:rsidRPr="00FC3CB2">
        <w:rPr>
          <w:rFonts w:ascii="Tahoma" w:hAnsi="Tahoma" w:cs="Tahoma"/>
          <w:i/>
          <w:iCs/>
          <w:color w:val="444444"/>
          <w:sz w:val="22"/>
          <w:szCs w:val="22"/>
        </w:rPr>
        <w:t>nevertheless</w:t>
      </w:r>
      <w:r w:rsidRPr="00FC3CB2">
        <w:rPr>
          <w:rFonts w:ascii="Tahoma" w:hAnsi="Tahoma" w:cs="Tahoma"/>
          <w:color w:val="444444"/>
          <w:sz w:val="22"/>
          <w:szCs w:val="22"/>
        </w:rPr>
        <w:t>, </w:t>
      </w:r>
      <w:r w:rsidRPr="00FC3CB2">
        <w:rPr>
          <w:rFonts w:ascii="Tahoma" w:hAnsi="Tahoma" w:cs="Tahoma"/>
          <w:i/>
          <w:iCs/>
          <w:color w:val="444444"/>
          <w:sz w:val="22"/>
          <w:szCs w:val="22"/>
        </w:rPr>
        <w:t>indeed</w:t>
      </w:r>
      <w:r w:rsidRPr="00FC3CB2">
        <w:rPr>
          <w:rFonts w:ascii="Tahoma" w:hAnsi="Tahoma" w:cs="Tahoma"/>
          <w:color w:val="444444"/>
          <w:sz w:val="22"/>
          <w:szCs w:val="22"/>
        </w:rPr>
        <w:t>) that indicate how a statement in one sentence relates to a statement that precedes or follows. In the following example, the underlined transitions signal contrast:</w:t>
      </w:r>
    </w:p>
    <w:p w14:paraId="7EDA408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In the winter of 1973-74 drivers lined up all over America to fill their gas tanks. </w:t>
      </w:r>
      <w:r w:rsidRPr="00FC3CB2">
        <w:rPr>
          <w:rFonts w:ascii="Tahoma" w:hAnsi="Tahoma" w:cs="Tahoma"/>
          <w:i/>
          <w:iCs/>
          <w:color w:val="444444"/>
          <w:sz w:val="22"/>
          <w:szCs w:val="22"/>
          <w:u w:val="single"/>
        </w:rPr>
        <w:t>But </w:t>
      </w:r>
      <w:r w:rsidRPr="00FC3CB2">
        <w:rPr>
          <w:rFonts w:ascii="Tahoma" w:hAnsi="Tahoma" w:cs="Tahoma"/>
          <w:i/>
          <w:iCs/>
          <w:color w:val="444444"/>
          <w:sz w:val="22"/>
          <w:szCs w:val="22"/>
        </w:rPr>
        <w:t>it was not merely a question of a fifteen-minute wait and back on the road again. </w:t>
      </w:r>
      <w:r w:rsidRPr="00FC3CB2">
        <w:rPr>
          <w:rFonts w:ascii="Tahoma" w:hAnsi="Tahoma" w:cs="Tahoma"/>
          <w:i/>
          <w:iCs/>
          <w:color w:val="444444"/>
          <w:sz w:val="22"/>
          <w:szCs w:val="22"/>
          <w:u w:val="single"/>
        </w:rPr>
        <w:t>On the contrary</w:t>
      </w:r>
      <w:r w:rsidRPr="00FC3CB2">
        <w:rPr>
          <w:rFonts w:ascii="Tahoma" w:hAnsi="Tahoma" w:cs="Tahoma"/>
          <w:i/>
          <w:iCs/>
          <w:color w:val="444444"/>
          <w:sz w:val="22"/>
          <w:szCs w:val="22"/>
        </w:rPr>
        <w:t>, cars often began to congregate at dawn.</w:t>
      </w:r>
    </w:p>
    <w:p w14:paraId="15E9730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Transition words are most effective when they are placed at the beginnings of sentences (although they can also be used in the middle or at the end). The transition below signals a shift to similarity:</w:t>
      </w:r>
    </w:p>
    <w:p w14:paraId="37EF79A3"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u w:val="single"/>
        </w:rPr>
        <w:t>Similarly</w:t>
      </w:r>
      <w:r w:rsidRPr="00FC3CB2">
        <w:rPr>
          <w:rFonts w:ascii="Tahoma" w:hAnsi="Tahoma" w:cs="Tahoma"/>
          <w:i/>
          <w:iCs/>
          <w:color w:val="444444"/>
          <w:sz w:val="22"/>
          <w:szCs w:val="22"/>
        </w:rPr>
        <w:t>, walkers appeared early on frigid mornings with an empty five-gallon can in one hand and a pint of steaming coffee in the other, determined to wait out the chill and avoid disappointment.</w:t>
      </w:r>
    </w:p>
    <w:p w14:paraId="791A39B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next passage uses a cause-and-effect transition:</w:t>
      </w:r>
    </w:p>
    <w:p w14:paraId="7E259AC3"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Everybody had to wait. </w:t>
      </w:r>
      <w:r w:rsidRPr="00FC3CB2">
        <w:rPr>
          <w:rFonts w:ascii="Tahoma" w:hAnsi="Tahoma" w:cs="Tahoma"/>
          <w:i/>
          <w:iCs/>
          <w:color w:val="444444"/>
          <w:sz w:val="22"/>
          <w:szCs w:val="22"/>
          <w:u w:val="single"/>
        </w:rPr>
        <w:t>As a result</w:t>
      </w:r>
      <w:r w:rsidRPr="00FC3CB2">
        <w:rPr>
          <w:rFonts w:ascii="Tahoma" w:hAnsi="Tahoma" w:cs="Tahoma"/>
          <w:i/>
          <w:iCs/>
          <w:color w:val="444444"/>
          <w:sz w:val="22"/>
          <w:szCs w:val="22"/>
        </w:rPr>
        <w:t>, high-school kids took Saturday morning jobs as gas line sitters; spouses drove their mates to work and spent the rest of the day in line, and libraries had a surge of activity as people decided to catch up on their reading while waiting.</w:t>
      </w:r>
    </w:p>
    <w:p w14:paraId="03AF3756"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final passage, this writer signals that she is summing up and concluding:</w:t>
      </w:r>
    </w:p>
    <w:p w14:paraId="73EA8188"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u w:val="single"/>
        </w:rPr>
        <w:t>All in all</w:t>
      </w:r>
      <w:r w:rsidRPr="00FC3CB2">
        <w:rPr>
          <w:rFonts w:ascii="Tahoma" w:hAnsi="Tahoma" w:cs="Tahoma"/>
          <w:i/>
          <w:iCs/>
          <w:color w:val="444444"/>
          <w:sz w:val="22"/>
          <w:szCs w:val="22"/>
        </w:rPr>
        <w:t>, Americans were at their best during that bizarre season, abiding by the new rules as if a place in the gas line had been guaranteed to everyone by the Bill of Rights.</w:t>
      </w:r>
    </w:p>
    <w:p w14:paraId="06782D74"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lists below you will find that some transitions can do double duty, signaling, for instance, either addition or amplification, depending on the context:</w:t>
      </w:r>
    </w:p>
    <w:p w14:paraId="4B74761C"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To </w:t>
      </w:r>
      <w:r w:rsidRPr="00FC3CB2">
        <w:rPr>
          <w:rFonts w:ascii="Tahoma" w:hAnsi="Tahoma" w:cs="Tahoma"/>
          <w:i/>
          <w:iCs/>
          <w:color w:val="444444"/>
          <w:sz w:val="22"/>
          <w:szCs w:val="22"/>
        </w:rPr>
        <w:t>add </w:t>
      </w:r>
      <w:r w:rsidRPr="00FC3CB2">
        <w:rPr>
          <w:rFonts w:ascii="Tahoma" w:hAnsi="Tahoma" w:cs="Tahoma"/>
          <w:color w:val="444444"/>
          <w:sz w:val="22"/>
          <w:szCs w:val="22"/>
        </w:rPr>
        <w:t>a thought or to </w:t>
      </w:r>
      <w:r w:rsidRPr="00FC3CB2">
        <w:rPr>
          <w:rFonts w:ascii="Tahoma" w:hAnsi="Tahoma" w:cs="Tahoma"/>
          <w:i/>
          <w:iCs/>
          <w:color w:val="444444"/>
          <w:sz w:val="22"/>
          <w:szCs w:val="22"/>
        </w:rPr>
        <w:t>show sequence</w:t>
      </w:r>
      <w:r w:rsidRPr="00FC3CB2">
        <w:rPr>
          <w:rFonts w:ascii="Tahoma" w:hAnsi="Tahoma" w:cs="Tahoma"/>
          <w:color w:val="444444"/>
          <w:sz w:val="22"/>
          <w:szCs w:val="22"/>
        </w:rPr>
        <w:t> in your own writing, use the following transitions:</w:t>
      </w:r>
    </w:p>
    <w:tbl>
      <w:tblPr>
        <w:tblW w:w="5235" w:type="dxa"/>
        <w:tblBorders>
          <w:top w:val="outset" w:sz="6" w:space="0" w:color="000000"/>
          <w:left w:val="outset" w:sz="6" w:space="0" w:color="000000"/>
          <w:bottom w:val="outset" w:sz="6" w:space="0" w:color="000000"/>
          <w:right w:val="outset" w:sz="6" w:space="0" w:color="000000"/>
        </w:tblBorders>
        <w:tblCellMar>
          <w:left w:w="450" w:type="dxa"/>
          <w:right w:w="0" w:type="dxa"/>
        </w:tblCellMar>
        <w:tblLook w:val="04A0" w:firstRow="1" w:lastRow="0" w:firstColumn="1" w:lastColumn="0" w:noHBand="0" w:noVBand="1"/>
      </w:tblPr>
      <w:tblGrid>
        <w:gridCol w:w="1005"/>
        <w:gridCol w:w="1917"/>
        <w:gridCol w:w="1776"/>
        <w:gridCol w:w="537"/>
      </w:tblGrid>
      <w:tr w:rsidR="00FC3CB2" w:rsidRPr="00FC3CB2" w14:paraId="4EB887E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DE3E82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again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B4D69F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equally important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3E828F7"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the first place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C78509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still</w:t>
            </w:r>
          </w:p>
        </w:tc>
      </w:tr>
      <w:tr w:rsidR="00FC3CB2" w:rsidRPr="00FC3CB2" w14:paraId="4443684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43452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BF8EA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finally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AD1699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last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ECC075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then</w:t>
            </w:r>
          </w:p>
        </w:tc>
      </w:tr>
      <w:tr w:rsidR="00FC3CB2" w:rsidRPr="00FC3CB2" w14:paraId="3F3F469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9036DE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39C7DD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first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94F7D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moreover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EF53001" w14:textId="77777777" w:rsidR="00FC3CB2" w:rsidRPr="00FC3CB2" w:rsidRDefault="00FC3CB2" w:rsidP="00FC3CB2">
            <w:pPr>
              <w:rPr>
                <w:rFonts w:ascii="Tahoma" w:eastAsia="Times New Roman" w:hAnsi="Tahoma" w:cs="Tahoma"/>
                <w:color w:val="333333"/>
              </w:rPr>
            </w:pPr>
          </w:p>
        </w:tc>
      </w:tr>
      <w:tr w:rsidR="00FC3CB2" w:rsidRPr="00FC3CB2" w14:paraId="5FB1ABB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84F45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 then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9E786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furthermore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7D2C3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next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16AB2C" w14:textId="77777777" w:rsidR="00FC3CB2" w:rsidRPr="00FC3CB2" w:rsidRDefault="00FC3CB2" w:rsidP="00FC3CB2">
            <w:pPr>
              <w:rPr>
                <w:rFonts w:ascii="Tahoma" w:eastAsia="Times New Roman" w:hAnsi="Tahoma" w:cs="Tahoma"/>
                <w:color w:val="333333"/>
              </w:rPr>
            </w:pPr>
          </w:p>
        </w:tc>
      </w:tr>
      <w:tr w:rsidR="00FC3CB2" w:rsidRPr="00FC3CB2" w14:paraId="722D7E7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15B20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lastRenderedPageBreak/>
              <w:t>besides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15C480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addition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C44344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second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F9715D5" w14:textId="77777777" w:rsidR="00FC3CB2" w:rsidRPr="00FC3CB2" w:rsidRDefault="00FC3CB2" w:rsidP="00FC3CB2">
            <w:pPr>
              <w:rPr>
                <w:rFonts w:ascii="Tahoma" w:eastAsia="Times New Roman" w:hAnsi="Tahoma" w:cs="Tahoma"/>
                <w:color w:val="333333"/>
              </w:rPr>
            </w:pPr>
          </w:p>
        </w:tc>
      </w:tr>
    </w:tbl>
    <w:p w14:paraId="565A9A1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w:t>
      </w:r>
      <w:r w:rsidRPr="00FC3CB2">
        <w:rPr>
          <w:rFonts w:ascii="Tahoma" w:hAnsi="Tahoma" w:cs="Tahoma"/>
          <w:i/>
          <w:iCs/>
          <w:color w:val="444444"/>
          <w:sz w:val="22"/>
          <w:szCs w:val="22"/>
        </w:rPr>
        <w:t>amplify </w:t>
      </w:r>
      <w:r w:rsidRPr="00FC3CB2">
        <w:rPr>
          <w:rFonts w:ascii="Tahoma" w:hAnsi="Tahoma" w:cs="Tahoma"/>
          <w:color w:val="444444"/>
          <w:sz w:val="22"/>
          <w:szCs w:val="22"/>
        </w:rPr>
        <w:t>or </w:t>
      </w:r>
      <w:r w:rsidRPr="00FC3CB2">
        <w:rPr>
          <w:rFonts w:ascii="Tahoma" w:hAnsi="Tahoma" w:cs="Tahoma"/>
          <w:i/>
          <w:iCs/>
          <w:color w:val="444444"/>
          <w:sz w:val="22"/>
          <w:szCs w:val="22"/>
        </w:rPr>
        <w:t>intensify</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1"/>
        <w:gridCol w:w="1134"/>
        <w:gridCol w:w="1613"/>
        <w:gridCol w:w="1297"/>
      </w:tblGrid>
      <w:tr w:rsidR="00FC3CB2" w:rsidRPr="00FC3CB2" w14:paraId="2079386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CD72B9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5AF3C2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EA2B1E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furthermore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28FC4A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moreover</w:t>
            </w:r>
          </w:p>
        </w:tc>
      </w:tr>
      <w:tr w:rsidR="00FC3CB2" w:rsidRPr="00FC3CB2" w14:paraId="623CA4E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76990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again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1DA26F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further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15C81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addition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3AB007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too</w:t>
            </w:r>
          </w:p>
        </w:tc>
      </w:tr>
      <w:tr w:rsidR="00FC3CB2" w:rsidRPr="00FC3CB2" w14:paraId="2263ECF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B8FE29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after all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9F4105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324E6B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indeed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B43BB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truly</w:t>
            </w:r>
          </w:p>
        </w:tc>
      </w:tr>
      <w:tr w:rsidR="00FC3CB2" w:rsidRPr="00FC3CB2" w14:paraId="1D5B3968"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E879C5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interestingly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86C90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it is true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4DA9CD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of course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1C067CF" w14:textId="77777777" w:rsidR="00FC3CB2" w:rsidRPr="00FC3CB2" w:rsidRDefault="00FC3CB2" w:rsidP="00FC3CB2">
            <w:pPr>
              <w:rPr>
                <w:rFonts w:ascii="Tahoma" w:eastAsia="Times New Roman" w:hAnsi="Tahoma" w:cs="Tahoma"/>
                <w:color w:val="333333"/>
              </w:rPr>
            </w:pPr>
          </w:p>
        </w:tc>
      </w:tr>
    </w:tbl>
    <w:p w14:paraId="4FB61004"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insistence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2"/>
        <w:gridCol w:w="1836"/>
        <w:gridCol w:w="1056"/>
        <w:gridCol w:w="831"/>
      </w:tblGrid>
      <w:tr w:rsidR="00FC3CB2" w:rsidRPr="00FC3CB2" w14:paraId="6918C0E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6913D0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indeed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DDF0C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fact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6B02F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yes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95CD30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no</w:t>
            </w:r>
          </w:p>
        </w:tc>
      </w:tr>
    </w:tbl>
    <w:p w14:paraId="75AE614B"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 </w:t>
      </w:r>
    </w:p>
    <w:p w14:paraId="3DD77D99"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To </w:t>
      </w:r>
      <w:r w:rsidRPr="00FC3CB2">
        <w:rPr>
          <w:rFonts w:ascii="Tahoma" w:hAnsi="Tahoma" w:cs="Tahoma"/>
          <w:i/>
          <w:iCs/>
          <w:color w:val="444444"/>
          <w:sz w:val="22"/>
          <w:szCs w:val="22"/>
        </w:rPr>
        <w:t>compare </w:t>
      </w:r>
      <w:r w:rsidRPr="00FC3CB2">
        <w:rPr>
          <w:rFonts w:ascii="Tahoma" w:hAnsi="Tahoma" w:cs="Tahoma"/>
          <w:color w:val="444444"/>
          <w:sz w:val="22"/>
          <w:szCs w:val="22"/>
        </w:rPr>
        <w:t>or show </w:t>
      </w:r>
      <w:r w:rsidRPr="00FC3CB2">
        <w:rPr>
          <w:rFonts w:ascii="Tahoma" w:hAnsi="Tahoma" w:cs="Tahoma"/>
          <w:i/>
          <w:iCs/>
          <w:color w:val="444444"/>
          <w:sz w:val="22"/>
          <w:szCs w:val="22"/>
        </w:rPr>
        <w:t>likeness</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7"/>
        <w:gridCol w:w="2506"/>
        <w:gridCol w:w="1229"/>
        <w:gridCol w:w="1283"/>
      </w:tblGrid>
      <w:tr w:rsidR="00FC3CB2" w:rsidRPr="00FC3CB2" w14:paraId="305696E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EFA1A1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BC7D77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the same way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CA10A4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likewise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913314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similarly</w:t>
            </w:r>
          </w:p>
        </w:tc>
      </w:tr>
    </w:tbl>
    <w:p w14:paraId="04E836E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concession</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1333"/>
        <w:gridCol w:w="1480"/>
        <w:gridCol w:w="1618"/>
      </w:tblGrid>
      <w:tr w:rsidR="00FC3CB2" w:rsidRPr="00FC3CB2" w14:paraId="4F94EF40"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B8DD4C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granted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282F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it is true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FA6D897"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of course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D013D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be sure</w:t>
            </w:r>
          </w:p>
        </w:tc>
      </w:tr>
    </w:tbl>
    <w:p w14:paraId="1FAB382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contrast</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86"/>
        <w:gridCol w:w="821"/>
        <w:gridCol w:w="1389"/>
        <w:gridCol w:w="1753"/>
        <w:gridCol w:w="945"/>
      </w:tblGrid>
      <w:tr w:rsidR="00FC3CB2" w:rsidRPr="00FC3CB2" w14:paraId="2CEF0602"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696EC9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although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6FF395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despite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46B7C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however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0662C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notwithstanding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C09542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still</w:t>
            </w:r>
          </w:p>
        </w:tc>
      </w:tr>
      <w:tr w:rsidR="00FC3CB2" w:rsidRPr="00FC3CB2" w14:paraId="6B059B5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C6556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and yet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BC6AEE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 so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0318C85"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contrast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7E89C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on the contrary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1CEF12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though</w:t>
            </w:r>
          </w:p>
        </w:tc>
      </w:tr>
      <w:tr w:rsidR="00FC3CB2" w:rsidRPr="00FC3CB2" w14:paraId="0AE52CD9"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1261BD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at the same time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071E6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even though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2258B8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spite of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567033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on the other hand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BF3969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whereas</w:t>
            </w:r>
          </w:p>
        </w:tc>
      </w:tr>
      <w:tr w:rsidR="00FC3CB2" w:rsidRPr="00FC3CB2" w14:paraId="73245D2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F63C5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but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5751E8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 all that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921343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nevertheless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9DC7ED7"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regardless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AFAD0A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yet</w:t>
            </w:r>
          </w:p>
        </w:tc>
      </w:tr>
    </w:tbl>
    <w:p w14:paraId="5515A47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give </w:t>
      </w:r>
      <w:r w:rsidRPr="00FC3CB2">
        <w:rPr>
          <w:rFonts w:ascii="Tahoma" w:hAnsi="Tahoma" w:cs="Tahoma"/>
          <w:i/>
          <w:iCs/>
          <w:color w:val="444444"/>
          <w:sz w:val="22"/>
          <w:szCs w:val="22"/>
        </w:rPr>
        <w:t>examples</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0"/>
        <w:gridCol w:w="1711"/>
        <w:gridCol w:w="1644"/>
      </w:tblGrid>
      <w:tr w:rsidR="00FC3CB2" w:rsidRPr="00FC3CB2" w14:paraId="13A3EFE6"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A541F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an illustration of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84F5E7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 instance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7E83E1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specifically</w:t>
            </w:r>
          </w:p>
        </w:tc>
      </w:tr>
      <w:tr w:rsidR="00FC3CB2" w:rsidRPr="00FC3CB2" w14:paraId="73BBD97F"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3370CB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 example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1EFB13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fact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36EFB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illustrate</w:t>
            </w:r>
          </w:p>
        </w:tc>
      </w:tr>
    </w:tbl>
    <w:p w14:paraId="0893CF8E"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a </w:t>
      </w:r>
      <w:r w:rsidRPr="00FC3CB2">
        <w:rPr>
          <w:rFonts w:ascii="Tahoma" w:hAnsi="Tahoma" w:cs="Tahoma"/>
          <w:i/>
          <w:iCs/>
          <w:color w:val="444444"/>
          <w:sz w:val="22"/>
          <w:szCs w:val="22"/>
        </w:rPr>
        <w:t>restatement</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3"/>
        <w:gridCol w:w="1461"/>
        <w:gridCol w:w="1628"/>
        <w:gridCol w:w="1913"/>
      </w:tblGrid>
      <w:tr w:rsidR="00FC3CB2" w:rsidRPr="00FC3CB2" w14:paraId="6A0E8321"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98E3C2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that 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0A6552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other words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1E4AE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simpler terms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D2B880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put it differently</w:t>
            </w:r>
          </w:p>
        </w:tc>
      </w:tr>
    </w:tbl>
    <w:p w14:paraId="49C97C3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cause and effect</w:t>
      </w:r>
      <w:r w:rsidRPr="00FC3CB2">
        <w:rPr>
          <w:rFonts w:ascii="Tahoma" w:hAnsi="Tahoma" w:cs="Tahoma"/>
          <w:color w:val="444444"/>
          <w:sz w:val="22"/>
          <w:szCs w:val="22"/>
        </w:rPr>
        <w:t> or </w:t>
      </w:r>
      <w:r w:rsidRPr="00FC3CB2">
        <w:rPr>
          <w:rFonts w:ascii="Tahoma" w:hAnsi="Tahoma" w:cs="Tahoma"/>
          <w:i/>
          <w:iCs/>
          <w:color w:val="444444"/>
          <w:sz w:val="22"/>
          <w:szCs w:val="22"/>
        </w:rPr>
        <w:t>consequence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3"/>
        <w:gridCol w:w="1460"/>
        <w:gridCol w:w="1084"/>
        <w:gridCol w:w="1144"/>
        <w:gridCol w:w="744"/>
      </w:tblGrid>
      <w:tr w:rsidR="00FC3CB2" w:rsidRPr="00FC3CB2" w14:paraId="4568634F"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1AFA4D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lastRenderedPageBreak/>
              <w:t>accordingly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A53E24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consequently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F1BFE7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otherwise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FFE7BD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therefore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0E2BC8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this end</w:t>
            </w:r>
          </w:p>
        </w:tc>
      </w:tr>
      <w:tr w:rsidR="00FC3CB2" w:rsidRPr="00FC3CB2" w14:paraId="199DF31E"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0B6B1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as a result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BCD193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 this purpose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64D3B5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since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EAECD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thereupon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E8E068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thus</w:t>
            </w:r>
          </w:p>
        </w:tc>
      </w:tr>
      <w:tr w:rsidR="00FC3CB2" w:rsidRPr="00FC3CB2" w14:paraId="18959B9A"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B84799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because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439C92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hence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7E6F6E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29B8B1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4338C2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with this object</w:t>
            </w:r>
          </w:p>
        </w:tc>
      </w:tr>
    </w:tbl>
    <w:p w14:paraId="3E7F2316"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show </w:t>
      </w:r>
      <w:r w:rsidRPr="00FC3CB2">
        <w:rPr>
          <w:rFonts w:ascii="Tahoma" w:hAnsi="Tahoma" w:cs="Tahoma"/>
          <w:i/>
          <w:iCs/>
          <w:color w:val="444444"/>
          <w:sz w:val="22"/>
          <w:szCs w:val="22"/>
        </w:rPr>
        <w:t>time </w:t>
      </w:r>
      <w:r w:rsidRPr="00FC3CB2">
        <w:rPr>
          <w:rFonts w:ascii="Tahoma" w:hAnsi="Tahoma" w:cs="Tahoma"/>
          <w:color w:val="444444"/>
          <w:sz w:val="22"/>
          <w:szCs w:val="22"/>
        </w:rPr>
        <w:t>or </w:t>
      </w:r>
      <w:r w:rsidRPr="00FC3CB2">
        <w:rPr>
          <w:rFonts w:ascii="Tahoma" w:hAnsi="Tahoma" w:cs="Tahoma"/>
          <w:i/>
          <w:iCs/>
          <w:color w:val="444444"/>
          <w:sz w:val="22"/>
          <w:szCs w:val="22"/>
        </w:rPr>
        <w:t>place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9"/>
        <w:gridCol w:w="1126"/>
        <w:gridCol w:w="942"/>
        <w:gridCol w:w="1625"/>
        <w:gridCol w:w="1449"/>
      </w:tblGrid>
      <w:tr w:rsidR="00FC3CB2" w:rsidRPr="00FC3CB2" w14:paraId="7F42D2E4"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E71C90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above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E3ACB3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below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091FDF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formerly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BC93E3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near(by)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26532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subsequently</w:t>
            </w:r>
          </w:p>
        </w:tc>
      </w:tr>
      <w:tr w:rsidR="00FC3CB2" w:rsidRPr="00FC3CB2" w14:paraId="00917B72"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1A1804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adjacent 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BC2C9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earlier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AACDC0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here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482BFC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opposite 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7033191"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w:t>
            </w:r>
          </w:p>
        </w:tc>
      </w:tr>
      <w:tr w:rsidR="00FC3CB2" w:rsidRPr="00FC3CB2" w14:paraId="73C5BC5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83969E0"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afterward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D9FAFA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elsewhere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223B4C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hitherto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EDBE96C"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simultaneously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596C30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this time</w:t>
            </w:r>
          </w:p>
        </w:tc>
      </w:tr>
      <w:tr w:rsidR="00FC3CB2" w:rsidRPr="00FC3CB2" w14:paraId="734A4BCD"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3D8122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at the same time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33E32D3"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farther 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430806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later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3BAA84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so far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AD6F38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until now</w:t>
            </w:r>
          </w:p>
        </w:tc>
      </w:tr>
    </w:tbl>
    <w:p w14:paraId="044AE0AD"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br/>
        <w:t>To </w:t>
      </w:r>
      <w:r w:rsidRPr="00FC3CB2">
        <w:rPr>
          <w:rFonts w:ascii="Tahoma" w:hAnsi="Tahoma" w:cs="Tahoma"/>
          <w:i/>
          <w:iCs/>
          <w:color w:val="444444"/>
          <w:sz w:val="22"/>
          <w:szCs w:val="22"/>
        </w:rPr>
        <w:t>repeat</w:t>
      </w:r>
      <w:r w:rsidRPr="00FC3CB2">
        <w:rPr>
          <w:rFonts w:ascii="Tahoma" w:hAnsi="Tahoma" w:cs="Tahoma"/>
          <w:color w:val="444444"/>
          <w:sz w:val="22"/>
          <w:szCs w:val="22"/>
        </w:rPr>
        <w:t>,</w:t>
      </w:r>
      <w:r w:rsidRPr="00FC3CB2">
        <w:rPr>
          <w:rFonts w:ascii="Tahoma" w:hAnsi="Tahoma" w:cs="Tahoma"/>
          <w:i/>
          <w:iCs/>
          <w:color w:val="444444"/>
          <w:sz w:val="22"/>
          <w:szCs w:val="22"/>
        </w:rPr>
        <w:t> summarize</w:t>
      </w:r>
      <w:r w:rsidRPr="00FC3CB2">
        <w:rPr>
          <w:rFonts w:ascii="Tahoma" w:hAnsi="Tahoma" w:cs="Tahoma"/>
          <w:color w:val="444444"/>
          <w:sz w:val="22"/>
          <w:szCs w:val="22"/>
        </w:rPr>
        <w:t>, or </w:t>
      </w:r>
      <w:r w:rsidRPr="00FC3CB2">
        <w:rPr>
          <w:rFonts w:ascii="Tahoma" w:hAnsi="Tahoma" w:cs="Tahoma"/>
          <w:i/>
          <w:iCs/>
          <w:color w:val="444444"/>
          <w:sz w:val="22"/>
          <w:szCs w:val="22"/>
        </w:rPr>
        <w:t>conclude</w:t>
      </w:r>
      <w:r w:rsidRPr="00FC3CB2">
        <w:rPr>
          <w:rFonts w:ascii="Tahoma" w:hAnsi="Tahoma" w:cs="Tahoma"/>
          <w:color w:val="444444"/>
          <w:sz w:val="22"/>
          <w:szCs w:val="22"/>
        </w:rPr>
        <w:t>:</w:t>
      </w:r>
    </w:p>
    <w:tbl>
      <w:tblPr>
        <w:tblW w:w="568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58"/>
        <w:gridCol w:w="1174"/>
        <w:gridCol w:w="1074"/>
        <w:gridCol w:w="1049"/>
        <w:gridCol w:w="1230"/>
      </w:tblGrid>
      <w:tr w:rsidR="00FC3CB2" w:rsidRPr="00FC3CB2" w14:paraId="5DA6C29C"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79A013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all in all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A2DC045"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brief</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8360BBB"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particular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6CD7B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summary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69CEFC2"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therefore</w:t>
            </w:r>
          </w:p>
        </w:tc>
      </w:tr>
      <w:tr w:rsidR="00FC3CB2" w:rsidRPr="00FC3CB2" w14:paraId="65366DE5"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184D268"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altogether</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F88C3A9"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conclusion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CC7091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short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AB51B0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on the whole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0DC0EF4"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put it differently</w:t>
            </w:r>
          </w:p>
        </w:tc>
      </w:tr>
      <w:tr w:rsidR="00FC3CB2" w:rsidRPr="00FC3CB2" w14:paraId="4FE9180B" w14:textId="77777777" w:rsidTr="00FC3CB2">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422E06D"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as has been said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908A78F"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other words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C1123CA"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in simpler terms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1896EC8E"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that is</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0FDB3D6" w14:textId="77777777" w:rsidR="00FC3CB2" w:rsidRPr="00FC3CB2" w:rsidRDefault="00FC3CB2" w:rsidP="00FC3CB2">
            <w:pPr>
              <w:rPr>
                <w:rFonts w:ascii="Tahoma" w:eastAsia="Times New Roman" w:hAnsi="Tahoma" w:cs="Tahoma"/>
                <w:color w:val="333333"/>
              </w:rPr>
            </w:pPr>
            <w:r w:rsidRPr="00FC3CB2">
              <w:rPr>
                <w:rFonts w:ascii="Tahoma" w:eastAsia="Times New Roman" w:hAnsi="Tahoma" w:cs="Tahoma"/>
                <w:color w:val="333333"/>
              </w:rPr>
              <w:t>to summarize</w:t>
            </w:r>
          </w:p>
        </w:tc>
      </w:tr>
    </w:tbl>
    <w:p w14:paraId="3C4C4F37" w14:textId="77777777" w:rsidR="00FC3CB2" w:rsidRPr="00FC3CB2" w:rsidRDefault="00FC3CB2" w:rsidP="00FC3CB2">
      <w:pPr>
        <w:rPr>
          <w:rFonts w:ascii="Times New Roman" w:eastAsia="Times New Roman" w:hAnsi="Times New Roman" w:cs="Times New Roman"/>
        </w:rPr>
      </w:pPr>
      <w:r w:rsidRPr="00FC3CB2">
        <w:rPr>
          <w:rFonts w:ascii="Tahoma" w:eastAsia="Times New Roman" w:hAnsi="Tahoma" w:cs="Tahoma"/>
          <w:color w:val="68696D"/>
        </w:rPr>
        <w:br/>
      </w:r>
    </w:p>
    <w:p w14:paraId="5687B610"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b/>
          <w:bCs/>
          <w:color w:val="444444"/>
          <w:sz w:val="22"/>
          <w:szCs w:val="22"/>
        </w:rPr>
        <w:t>Placement of ideas</w:t>
      </w:r>
    </w:p>
    <w:p w14:paraId="2F606FC9"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Another strategy is to place older, previously stated ideas first, followed by newer, just-introduced ideas. This is effective in essay and research papers (generally in pieces longer than a single paragraph).</w:t>
      </w:r>
    </w:p>
    <w:p w14:paraId="21AD420C"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In the following example, the second paragraph recaps the information contained in the first paragraph before going on to introduce a new idea:</w:t>
      </w:r>
    </w:p>
    <w:p w14:paraId="0ECB798A"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i/>
          <w:iCs/>
          <w:color w:val="444444"/>
          <w:sz w:val="22"/>
          <w:szCs w:val="22"/>
        </w:rPr>
        <w:t>Interestingly, in </w:t>
      </w:r>
      <w:r w:rsidRPr="00FC3CB2">
        <w:rPr>
          <w:rFonts w:ascii="Tahoma" w:hAnsi="Tahoma" w:cs="Tahoma"/>
          <w:i/>
          <w:iCs/>
          <w:color w:val="444444"/>
          <w:sz w:val="22"/>
          <w:szCs w:val="22"/>
          <w:u w:val="single"/>
        </w:rPr>
        <w:t xml:space="preserve">A Canticle for </w:t>
      </w:r>
      <w:proofErr w:type="spellStart"/>
      <w:r w:rsidRPr="00FC3CB2">
        <w:rPr>
          <w:rFonts w:ascii="Tahoma" w:hAnsi="Tahoma" w:cs="Tahoma"/>
          <w:i/>
          <w:iCs/>
          <w:color w:val="444444"/>
          <w:sz w:val="22"/>
          <w:szCs w:val="22"/>
          <w:u w:val="single"/>
        </w:rPr>
        <w:t>Leibowitz</w:t>
      </w:r>
      <w:proofErr w:type="spellEnd"/>
      <w:r w:rsidRPr="00FC3CB2">
        <w:rPr>
          <w:rFonts w:ascii="Tahoma" w:hAnsi="Tahoma" w:cs="Tahoma"/>
          <w:i/>
          <w:iCs/>
          <w:color w:val="444444"/>
          <w:sz w:val="22"/>
          <w:szCs w:val="22"/>
        </w:rPr>
        <w:t xml:space="preserve"> it is institutional religion itself that leads the struggle against ignorance and superstition. The brothers of the </w:t>
      </w:r>
      <w:proofErr w:type="spellStart"/>
      <w:r w:rsidRPr="00FC3CB2">
        <w:rPr>
          <w:rFonts w:ascii="Tahoma" w:hAnsi="Tahoma" w:cs="Tahoma"/>
          <w:i/>
          <w:iCs/>
          <w:color w:val="444444"/>
          <w:sz w:val="22"/>
          <w:szCs w:val="22"/>
        </w:rPr>
        <w:t>Albertian</w:t>
      </w:r>
      <w:proofErr w:type="spellEnd"/>
      <w:r w:rsidRPr="00FC3CB2">
        <w:rPr>
          <w:rFonts w:ascii="Tahoma" w:hAnsi="Tahoma" w:cs="Tahoma"/>
          <w:i/>
          <w:iCs/>
          <w:color w:val="444444"/>
          <w:sz w:val="22"/>
          <w:szCs w:val="22"/>
        </w:rPr>
        <w:t xml:space="preserve"> Order of St. </w:t>
      </w:r>
      <w:proofErr w:type="spellStart"/>
      <w:r w:rsidRPr="00FC3CB2">
        <w:rPr>
          <w:rFonts w:ascii="Tahoma" w:hAnsi="Tahoma" w:cs="Tahoma"/>
          <w:i/>
          <w:iCs/>
          <w:color w:val="444444"/>
          <w:sz w:val="22"/>
          <w:szCs w:val="22"/>
        </w:rPr>
        <w:t>Leibowitz</w:t>
      </w:r>
      <w:proofErr w:type="spellEnd"/>
      <w:r w:rsidRPr="00FC3CB2">
        <w:rPr>
          <w:rFonts w:ascii="Tahoma" w:hAnsi="Tahoma" w:cs="Tahoma"/>
          <w:i/>
          <w:iCs/>
          <w:color w:val="444444"/>
          <w:sz w:val="22"/>
          <w:szCs w:val="22"/>
        </w:rPr>
        <w:t xml:space="preserve"> live their lives-and sometimes lay those lives down-for the preservation of those fragments of written human knowledge that have survived both the nuclear holocaust and the Great Simplification.</w:t>
      </w:r>
      <w:r w:rsidRPr="00FC3CB2">
        <w:rPr>
          <w:rFonts w:ascii="Tahoma" w:hAnsi="Tahoma" w:cs="Tahoma"/>
          <w:i/>
          <w:iCs/>
          <w:color w:val="444444"/>
          <w:sz w:val="22"/>
          <w:szCs w:val="22"/>
          <w:u w:val="single"/>
        </w:rPr>
        <w:br/>
      </w:r>
      <w:r w:rsidRPr="00FC3CB2">
        <w:rPr>
          <w:rFonts w:ascii="Tahoma" w:hAnsi="Tahoma" w:cs="Tahoma"/>
          <w:i/>
          <w:iCs/>
          <w:color w:val="444444"/>
          <w:sz w:val="22"/>
          <w:szCs w:val="22"/>
          <w:u w:val="single"/>
        </w:rPr>
        <w:br/>
        <w:t>While for generations the church alone values these relics of knowledge</w:t>
      </w:r>
      <w:r w:rsidRPr="00FC3CB2">
        <w:rPr>
          <w:rFonts w:ascii="Tahoma" w:hAnsi="Tahoma" w:cs="Tahoma"/>
          <w:i/>
          <w:iCs/>
          <w:color w:val="444444"/>
          <w:sz w:val="22"/>
          <w:szCs w:val="22"/>
        </w:rPr>
        <w:t xml:space="preserve">, it is also, ironically, the church alone that recognizes (as the new generation of scholar-scientists does not) that knowledge will not redeem man, or make him better, or make him wiser. The secular scholar Thon </w:t>
      </w:r>
      <w:proofErr w:type="spellStart"/>
      <w:r w:rsidRPr="00FC3CB2">
        <w:rPr>
          <w:rFonts w:ascii="Tahoma" w:hAnsi="Tahoma" w:cs="Tahoma"/>
          <w:i/>
          <w:iCs/>
          <w:color w:val="444444"/>
          <w:sz w:val="22"/>
          <w:szCs w:val="22"/>
        </w:rPr>
        <w:t>Taddeo</w:t>
      </w:r>
      <w:proofErr w:type="spellEnd"/>
      <w:r w:rsidRPr="00FC3CB2">
        <w:rPr>
          <w:rFonts w:ascii="Tahoma" w:hAnsi="Tahoma" w:cs="Tahoma"/>
          <w:i/>
          <w:iCs/>
          <w:color w:val="444444"/>
          <w:sz w:val="22"/>
          <w:szCs w:val="22"/>
        </w:rPr>
        <w:t xml:space="preserve"> sees the monks as lacking </w:t>
      </w:r>
      <w:r w:rsidRPr="00FC3CB2">
        <w:rPr>
          <w:rFonts w:ascii="Tahoma" w:hAnsi="Tahoma" w:cs="Tahoma"/>
          <w:i/>
          <w:iCs/>
          <w:color w:val="444444"/>
          <w:sz w:val="22"/>
          <w:szCs w:val="22"/>
        </w:rPr>
        <w:lastRenderedPageBreak/>
        <w:t xml:space="preserve">understanding of that which they preserve and himself as a seeker after understanding; nevertheless, it is Abbott Paulo, not </w:t>
      </w:r>
      <w:proofErr w:type="spellStart"/>
      <w:r w:rsidRPr="00FC3CB2">
        <w:rPr>
          <w:rFonts w:ascii="Tahoma" w:hAnsi="Tahoma" w:cs="Tahoma"/>
          <w:i/>
          <w:iCs/>
          <w:color w:val="444444"/>
          <w:sz w:val="22"/>
          <w:szCs w:val="22"/>
        </w:rPr>
        <w:t>Taddeo</w:t>
      </w:r>
      <w:proofErr w:type="spellEnd"/>
      <w:r w:rsidRPr="00FC3CB2">
        <w:rPr>
          <w:rFonts w:ascii="Tahoma" w:hAnsi="Tahoma" w:cs="Tahoma"/>
          <w:i/>
          <w:iCs/>
          <w:color w:val="444444"/>
          <w:sz w:val="22"/>
          <w:szCs w:val="22"/>
        </w:rPr>
        <w:t xml:space="preserve">, who points out that there is no conflict between true religion and </w:t>
      </w:r>
      <w:proofErr w:type="spellStart"/>
      <w:r w:rsidRPr="00FC3CB2">
        <w:rPr>
          <w:rFonts w:ascii="Tahoma" w:hAnsi="Tahoma" w:cs="Tahoma"/>
          <w:i/>
          <w:iCs/>
          <w:color w:val="444444"/>
          <w:sz w:val="22"/>
          <w:szCs w:val="22"/>
        </w:rPr>
        <w:t>Taddeo's</w:t>
      </w:r>
      <w:proofErr w:type="spellEnd"/>
      <w:r w:rsidRPr="00FC3CB2">
        <w:rPr>
          <w:rFonts w:ascii="Tahoma" w:hAnsi="Tahoma" w:cs="Tahoma"/>
          <w:i/>
          <w:iCs/>
          <w:color w:val="444444"/>
          <w:sz w:val="22"/>
          <w:szCs w:val="22"/>
        </w:rPr>
        <w:t xml:space="preserve"> "refrangible property of light." In other words, it is the church that most clearly understands both the value and the proper limits of human knowledge.</w:t>
      </w:r>
    </w:p>
    <w:p w14:paraId="2F0258EF" w14:textId="77777777" w:rsidR="00FC3CB2" w:rsidRPr="00FC3CB2" w:rsidRDefault="00FC3CB2" w:rsidP="00FC3CB2">
      <w:pPr>
        <w:spacing w:after="150" w:line="360" w:lineRule="atLeast"/>
        <w:rPr>
          <w:rFonts w:ascii="Tahoma" w:hAnsi="Tahoma" w:cs="Tahoma"/>
          <w:color w:val="444444"/>
          <w:sz w:val="22"/>
          <w:szCs w:val="22"/>
        </w:rPr>
      </w:pPr>
      <w:r w:rsidRPr="00FC3CB2">
        <w:rPr>
          <w:rFonts w:ascii="Tahoma" w:hAnsi="Tahoma" w:cs="Tahoma"/>
          <w:color w:val="444444"/>
          <w:sz w:val="22"/>
          <w:szCs w:val="22"/>
        </w:rPr>
        <w:t>The above example combines this placement technique with transitions of emphasis, time, addition, contrast, and restatement; you, too, may use every trick in the book to lead your reader along the path of your thought.</w:t>
      </w:r>
    </w:p>
    <w:p w14:paraId="081A8C57" w14:textId="77777777" w:rsidR="00FC3CB2" w:rsidRPr="00FC3CB2" w:rsidRDefault="00FC3CB2" w:rsidP="00FC3CB2">
      <w:pPr>
        <w:rPr>
          <w:rFonts w:ascii="Times New Roman" w:eastAsia="Times New Roman" w:hAnsi="Times New Roman" w:cs="Times New Roman"/>
        </w:rPr>
      </w:pPr>
    </w:p>
    <w:p w14:paraId="7D868BF7" w14:textId="77777777" w:rsidR="00E75B95" w:rsidRDefault="00E75B95"/>
    <w:sectPr w:rsidR="00E75B95" w:rsidSect="00FC3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87A2B"/>
    <w:multiLevelType w:val="multilevel"/>
    <w:tmpl w:val="38C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B2"/>
    <w:rsid w:val="00560EF7"/>
    <w:rsid w:val="00747FCD"/>
    <w:rsid w:val="00E75B95"/>
    <w:rsid w:val="00FC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4C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CB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C3CB2"/>
    <w:rPr>
      <w:b/>
      <w:bCs/>
    </w:rPr>
  </w:style>
  <w:style w:type="character" w:customStyle="1" w:styleId="apple-converted-space">
    <w:name w:val="apple-converted-space"/>
    <w:basedOn w:val="DefaultParagraphFont"/>
    <w:rsid w:val="00FC3CB2"/>
  </w:style>
  <w:style w:type="character" w:styleId="Emphasis">
    <w:name w:val="Emphasis"/>
    <w:basedOn w:val="DefaultParagraphFont"/>
    <w:uiPriority w:val="20"/>
    <w:qFormat/>
    <w:rsid w:val="00FC3C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CB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C3CB2"/>
    <w:rPr>
      <w:b/>
      <w:bCs/>
    </w:rPr>
  </w:style>
  <w:style w:type="character" w:customStyle="1" w:styleId="apple-converted-space">
    <w:name w:val="apple-converted-space"/>
    <w:basedOn w:val="DefaultParagraphFont"/>
    <w:rsid w:val="00FC3CB2"/>
  </w:style>
  <w:style w:type="character" w:styleId="Emphasis">
    <w:name w:val="Emphasis"/>
    <w:basedOn w:val="DefaultParagraphFont"/>
    <w:uiPriority w:val="20"/>
    <w:qFormat/>
    <w:rsid w:val="00FC3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2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2019-06-11T17:57:00Z</dcterms:created>
  <dcterms:modified xsi:type="dcterms:W3CDTF">2019-06-11T17:57:00Z</dcterms:modified>
</cp:coreProperties>
</file>